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C0334" w:rsidRDefault="00F92268" w:rsidP="00916E78">
      <w:pPr>
        <w:pStyle w:val="BodyText"/>
        <w:spacing w:after="0"/>
        <w:rPr>
          <w:sz w:val="6"/>
          <w:szCs w:val="6"/>
        </w:rPr>
      </w:pPr>
      <w:r w:rsidRPr="008C033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C033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C0334" w:rsidRDefault="00F92268" w:rsidP="00F246C7">
            <w:pPr>
              <w:pStyle w:val="RefTableData"/>
            </w:pPr>
            <w:r w:rsidRPr="008C0334">
              <w:t>Reference number(s)</w:t>
            </w:r>
          </w:p>
        </w:tc>
      </w:tr>
      <w:tr w:rsidR="00F92268" w:rsidRPr="008C033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1134C1F" w:rsidR="00F92268" w:rsidRPr="008C0334" w:rsidRDefault="00F75EDB" w:rsidP="00F246C7">
            <w:pPr>
              <w:pStyle w:val="RefTableHeader"/>
            </w:pPr>
            <w:r w:rsidRPr="008C0334">
              <w:t>1663-A</w:t>
            </w:r>
          </w:p>
        </w:tc>
      </w:tr>
    </w:tbl>
    <w:p w14:paraId="74FBA5B4" w14:textId="77777777" w:rsidR="00051356" w:rsidRPr="00916E78" w:rsidRDefault="00051356" w:rsidP="00916E78">
      <w:pPr>
        <w:sectPr w:rsidR="00051356" w:rsidRPr="00916E78" w:rsidSect="00B90749">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CE1E6DE" w:rsidR="004B15BB" w:rsidRPr="008C0334" w:rsidRDefault="00703C25" w:rsidP="007E5C16">
      <w:pPr>
        <w:pStyle w:val="Heading1"/>
      </w:pPr>
      <w:r w:rsidRPr="008C0334">
        <w:t>Specialty Guideline Management</w:t>
      </w:r>
      <w:r w:rsidR="008C54D9" w:rsidRPr="008C0334">
        <w:br/>
      </w:r>
      <w:proofErr w:type="spellStart"/>
      <w:r w:rsidRPr="008C0334">
        <w:t>Tagrisso</w:t>
      </w:r>
      <w:proofErr w:type="spellEnd"/>
    </w:p>
    <w:p w14:paraId="78861C92" w14:textId="1842010B" w:rsidR="00203468" w:rsidRPr="008C0334" w:rsidRDefault="00C64534" w:rsidP="008E0F0D">
      <w:pPr>
        <w:pStyle w:val="Heading2"/>
      </w:pPr>
      <w:r w:rsidRPr="008C0334">
        <w:t xml:space="preserve">Products Referenced by this </w:t>
      </w:r>
      <w:r w:rsidR="00501602" w:rsidRPr="008C0334">
        <w:t>Document</w:t>
      </w:r>
    </w:p>
    <w:p w14:paraId="5455152B" w14:textId="21629AA8" w:rsidR="008E0F0D" w:rsidRPr="008C0334" w:rsidRDefault="00D82D85" w:rsidP="008B73E8">
      <w:pPr>
        <w:pStyle w:val="BodyText"/>
      </w:pPr>
      <w:r w:rsidRPr="008C0334">
        <w:t xml:space="preserve">Drugs that are listed in the </w:t>
      </w:r>
      <w:r w:rsidR="000315F1" w:rsidRPr="008C0334">
        <w:t>following table</w:t>
      </w:r>
      <w:r w:rsidRPr="008C0334">
        <w:t xml:space="preserve"> include both brand and generic and all dosage forms and strengths unless otherwise stated. </w:t>
      </w:r>
      <w:r w:rsidR="006A585A" w:rsidRPr="006A585A">
        <w:t>Over-the-counter (OTC)</w:t>
      </w:r>
      <w:r w:rsidRPr="008C033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8C0334" w14:paraId="158421F8" w14:textId="77777777" w:rsidTr="000C5A6F">
        <w:trPr>
          <w:cantSplit/>
          <w:trHeight w:val="288"/>
          <w:tblHeader/>
        </w:trPr>
        <w:tc>
          <w:tcPr>
            <w:tcW w:w="5265" w:type="dxa"/>
            <w:vAlign w:val="center"/>
          </w:tcPr>
          <w:p w14:paraId="2A27354A" w14:textId="1390179E" w:rsidR="00252CE1" w:rsidRPr="008C0334" w:rsidRDefault="00252CE1" w:rsidP="00AA1E6A">
            <w:pPr>
              <w:pStyle w:val="TableHeader"/>
            </w:pPr>
            <w:bookmarkStart w:id="0" w:name="_Hlk159603270"/>
            <w:r w:rsidRPr="008C0334">
              <w:t>Brand Name</w:t>
            </w:r>
          </w:p>
        </w:tc>
        <w:tc>
          <w:tcPr>
            <w:tcW w:w="5595" w:type="dxa"/>
            <w:vAlign w:val="center"/>
          </w:tcPr>
          <w:p w14:paraId="3D342BE1" w14:textId="75F11EF1" w:rsidR="00252CE1" w:rsidRPr="008C0334" w:rsidRDefault="00252CE1" w:rsidP="00AA1E6A">
            <w:pPr>
              <w:pStyle w:val="TableHeader"/>
            </w:pPr>
            <w:r w:rsidRPr="008C0334">
              <w:t>Generic Name</w:t>
            </w:r>
          </w:p>
        </w:tc>
      </w:tr>
      <w:tr w:rsidR="00585FFF" w:rsidRPr="008C0334" w14:paraId="2AD5C02D" w14:textId="77777777" w:rsidTr="000C5A6F">
        <w:trPr>
          <w:cantSplit/>
        </w:trPr>
        <w:tc>
          <w:tcPr>
            <w:tcW w:w="5265" w:type="dxa"/>
          </w:tcPr>
          <w:p w14:paraId="2D8FA8E3" w14:textId="2B63306F" w:rsidR="00585FFF" w:rsidRPr="008C0334" w:rsidRDefault="00703C25" w:rsidP="00E82ABA">
            <w:pPr>
              <w:pStyle w:val="TableDataUnpadded"/>
            </w:pPr>
            <w:proofErr w:type="spellStart"/>
            <w:r w:rsidRPr="008C0334">
              <w:t>Tagrisso</w:t>
            </w:r>
            <w:proofErr w:type="spellEnd"/>
          </w:p>
        </w:tc>
        <w:tc>
          <w:tcPr>
            <w:tcW w:w="5595" w:type="dxa"/>
          </w:tcPr>
          <w:p w14:paraId="7E26A004" w14:textId="78A9CDFB" w:rsidR="00585FFF" w:rsidRPr="008C0334" w:rsidRDefault="00703C25" w:rsidP="00E82ABA">
            <w:pPr>
              <w:pStyle w:val="TableDataUnpadded"/>
            </w:pPr>
            <w:proofErr w:type="spellStart"/>
            <w:r w:rsidRPr="008C0334">
              <w:t>osimertinib</w:t>
            </w:r>
            <w:proofErr w:type="spellEnd"/>
          </w:p>
        </w:tc>
      </w:tr>
    </w:tbl>
    <w:bookmarkEnd w:id="0"/>
    <w:p w14:paraId="14CE6108" w14:textId="5684B5BC" w:rsidR="00FC1AAD" w:rsidRPr="008C0334" w:rsidRDefault="00ED052F" w:rsidP="00AA2A94">
      <w:pPr>
        <w:pStyle w:val="Heading2"/>
        <w:tabs>
          <w:tab w:val="left" w:pos="9540"/>
        </w:tabs>
      </w:pPr>
      <w:r w:rsidRPr="008C0334">
        <w:t>Indications</w:t>
      </w:r>
    </w:p>
    <w:p w14:paraId="019987EF" w14:textId="2035A8C7" w:rsidR="00A9199A" w:rsidRPr="008C0334" w:rsidRDefault="00A9199A" w:rsidP="00A9199A">
      <w:pPr>
        <w:pStyle w:val="BodyText"/>
      </w:pPr>
      <w:r w:rsidRPr="008C0334">
        <w:t>The indications below including FDA-approved indications and compendial uses are considered a covered benefit provided that all the approval criteria are met and the member has no exclusions to the prescribed therapy.</w:t>
      </w:r>
    </w:p>
    <w:p w14:paraId="134B5687" w14:textId="5256FF83" w:rsidR="00ED052F" w:rsidRPr="008C0334" w:rsidRDefault="00ED052F" w:rsidP="00ED052F">
      <w:pPr>
        <w:pStyle w:val="Heading3"/>
        <w:keepNext w:val="0"/>
      </w:pPr>
      <w:r w:rsidRPr="008C0334">
        <w:t>FDA-</w:t>
      </w:r>
      <w:r w:rsidR="00766081">
        <w:t>A</w:t>
      </w:r>
      <w:r w:rsidRPr="008C0334">
        <w:t>pproved Indications</w:t>
      </w:r>
      <w:r w:rsidR="00A9199A" w:rsidRPr="008C0334">
        <w:rPr>
          <w:vertAlign w:val="superscript"/>
        </w:rPr>
        <w:t>1</w:t>
      </w:r>
    </w:p>
    <w:p w14:paraId="4C6E2D19" w14:textId="77777777" w:rsidR="00A9199A" w:rsidRPr="00766081" w:rsidRDefault="00A9199A" w:rsidP="00766081">
      <w:pPr>
        <w:pStyle w:val="ListParagraph"/>
      </w:pPr>
      <w:proofErr w:type="spellStart"/>
      <w:r w:rsidRPr="00766081">
        <w:t>Tagrisso</w:t>
      </w:r>
      <w:proofErr w:type="spellEnd"/>
      <w:r w:rsidRPr="00766081">
        <w:t xml:space="preserve"> is indicated for the first-line treatment of adult patients with metastatic non-small cell lung cancer (NSCLC) whose tumors have epidermal growth factor receptor (EGFR) exon 19 deletions or exon 21 L858R mutations, as detected by an FDA-approved test.</w:t>
      </w:r>
    </w:p>
    <w:p w14:paraId="39C4F9B7" w14:textId="77777777" w:rsidR="00A9199A" w:rsidRPr="00766081" w:rsidRDefault="00A9199A" w:rsidP="00766081">
      <w:pPr>
        <w:pStyle w:val="ListParagraph"/>
      </w:pPr>
      <w:proofErr w:type="spellStart"/>
      <w:r w:rsidRPr="00766081">
        <w:t>Tagrisso</w:t>
      </w:r>
      <w:proofErr w:type="spellEnd"/>
      <w:r w:rsidRPr="00766081">
        <w:t xml:space="preserve"> is indicated in combination with pemetrexed and platinum-based chemotherapy for the first-line treatment of adult patients with locally advanced or metastatic NSCLC whose tumors have EGFR exon 19 deletions or exon 21 L858R mutations, as detected by an FDA-approved test.</w:t>
      </w:r>
    </w:p>
    <w:p w14:paraId="6D1FE928" w14:textId="77777777" w:rsidR="00A9199A" w:rsidRPr="00766081" w:rsidRDefault="00A9199A" w:rsidP="00766081">
      <w:pPr>
        <w:pStyle w:val="ListParagraph"/>
      </w:pPr>
      <w:proofErr w:type="spellStart"/>
      <w:r w:rsidRPr="00766081">
        <w:t>Tagrisso</w:t>
      </w:r>
      <w:proofErr w:type="spellEnd"/>
      <w:r w:rsidRPr="00766081">
        <w:t xml:space="preserve"> is indicated for the treatment of adult patients with metastatic epidermal growth factor receptor (EGFR) T790M mutation-positive non-small cell lung cancer (NSCLC), as detected by an FDA-approved test, whose disease has progressed on or after EGFR tyrosine kinase inhibitor (TKI) therapy. </w:t>
      </w:r>
    </w:p>
    <w:p w14:paraId="78C22E11" w14:textId="22DF572C" w:rsidR="00A9199A" w:rsidRDefault="00A9199A" w:rsidP="00766081">
      <w:pPr>
        <w:pStyle w:val="ListParagraph"/>
        <w:numPr>
          <w:ilvl w:val="0"/>
          <w:numId w:val="37"/>
        </w:numPr>
      </w:pPr>
      <w:proofErr w:type="spellStart"/>
      <w:r w:rsidRPr="00766081">
        <w:t>Tagrisso</w:t>
      </w:r>
      <w:proofErr w:type="spellEnd"/>
      <w:r w:rsidRPr="00766081">
        <w:t xml:space="preserve"> is indicated for adjuvant therapy after tumor resection in adult patients with non-small cell lung cancer (NSCLC) whose tumors have epidermal growth factor receptor (EGFR) exon 19 deletions or exon 21 L858R mutations, as detected by and FDA approved test.</w:t>
      </w:r>
    </w:p>
    <w:p w14:paraId="4BECA063" w14:textId="471AA158" w:rsidR="002D5DC1" w:rsidRPr="00766081" w:rsidRDefault="002D5DC1" w:rsidP="00766081">
      <w:pPr>
        <w:pStyle w:val="ListParagraph"/>
        <w:numPr>
          <w:ilvl w:val="0"/>
          <w:numId w:val="37"/>
        </w:numPr>
      </w:pPr>
      <w:proofErr w:type="spellStart"/>
      <w:r>
        <w:lastRenderedPageBreak/>
        <w:t>Tagrisso</w:t>
      </w:r>
      <w:proofErr w:type="spellEnd"/>
      <w:r>
        <w:t xml:space="preserve"> is indicated for the treatment of adult patients with locally advanced, unresectable (stage III) NSCLC whose di</w:t>
      </w:r>
      <w:r w:rsidR="00B437B0">
        <w:t>sease</w:t>
      </w:r>
      <w:r>
        <w:t xml:space="preserve"> has not progressed during or following concurrent or sequential platinum-based chemoradiation therapy and whose tumors have EGFR exon 19 deletions or exon 21 L858R mutations, as </w:t>
      </w:r>
      <w:r w:rsidR="00B437B0">
        <w:t>detected by an FDA-approved test.</w:t>
      </w:r>
    </w:p>
    <w:p w14:paraId="0B5EC236" w14:textId="7A8ECC20" w:rsidR="0044763A" w:rsidRPr="008C0334" w:rsidRDefault="009F2EF1" w:rsidP="0044763A">
      <w:pPr>
        <w:pStyle w:val="Heading3"/>
      </w:pPr>
      <w:r w:rsidRPr="008C0334">
        <w:t>Compendial Uses</w:t>
      </w:r>
      <w:r w:rsidR="00A9199A" w:rsidRPr="008C0334">
        <w:rPr>
          <w:vertAlign w:val="superscript"/>
        </w:rPr>
        <w:t>2</w:t>
      </w:r>
    </w:p>
    <w:p w14:paraId="0CD5F98C" w14:textId="77777777" w:rsidR="00A9199A" w:rsidRPr="00766081" w:rsidRDefault="00A9199A" w:rsidP="00766081">
      <w:pPr>
        <w:pStyle w:val="ListParagraph"/>
        <w:numPr>
          <w:ilvl w:val="0"/>
          <w:numId w:val="37"/>
        </w:numPr>
      </w:pPr>
      <w:r w:rsidRPr="00766081">
        <w:t>EGFR mutation-positive recurrent, advanced or metastatic NSCLC.</w:t>
      </w:r>
    </w:p>
    <w:p w14:paraId="07D31F4B" w14:textId="5ED3E7DC" w:rsidR="00A9199A" w:rsidRPr="00766081" w:rsidRDefault="00A9199A" w:rsidP="00766081">
      <w:pPr>
        <w:pStyle w:val="ListParagraph"/>
        <w:numPr>
          <w:ilvl w:val="0"/>
          <w:numId w:val="37"/>
        </w:numPr>
      </w:pPr>
      <w:r w:rsidRPr="00766081">
        <w:t>Adjuvant treatment of completely resected stage IB-IIIB EGFR-mutation positive NSCLC.</w:t>
      </w:r>
    </w:p>
    <w:p w14:paraId="3D02A3FD" w14:textId="71B6424D" w:rsidR="00A9199A" w:rsidRPr="00766081" w:rsidRDefault="00A9199A" w:rsidP="00766081">
      <w:pPr>
        <w:pStyle w:val="ListParagraph"/>
        <w:numPr>
          <w:ilvl w:val="0"/>
          <w:numId w:val="37"/>
        </w:numPr>
      </w:pPr>
      <w:r w:rsidRPr="00766081">
        <w:t>Brain metastases from EGFR</w:t>
      </w:r>
      <w:r w:rsidR="00AA4B61">
        <w:t>-sensitizing</w:t>
      </w:r>
      <w:r w:rsidRPr="00766081">
        <w:t xml:space="preserve"> mutation-positive NSCLC.</w:t>
      </w:r>
    </w:p>
    <w:p w14:paraId="4D107E9C" w14:textId="21BF2532" w:rsidR="00A9199A" w:rsidRPr="00766081" w:rsidRDefault="00A9199A" w:rsidP="00916E78">
      <w:pPr>
        <w:pStyle w:val="ListParagraph"/>
        <w:numPr>
          <w:ilvl w:val="0"/>
          <w:numId w:val="37"/>
        </w:numPr>
        <w:spacing w:after="120"/>
      </w:pPr>
      <w:r w:rsidRPr="00766081">
        <w:t>Leptomeningeal metastases from EGFR mutation-positive NSCLC.</w:t>
      </w:r>
    </w:p>
    <w:p w14:paraId="0D5A9DD5" w14:textId="0272D20B" w:rsidR="009A5649" w:rsidRPr="008C0334" w:rsidRDefault="00A9199A" w:rsidP="009A5649">
      <w:pPr>
        <w:pStyle w:val="BodyText"/>
        <w:rPr>
          <w:rFonts w:eastAsia="Arial"/>
        </w:rPr>
      </w:pPr>
      <w:r w:rsidRPr="008C0334">
        <w:t>All other indications are considered experimental/investigational and not medically necessary</w:t>
      </w:r>
      <w:r w:rsidR="009A5649" w:rsidRPr="008C0334">
        <w:rPr>
          <w:rFonts w:eastAsia="Arial"/>
        </w:rPr>
        <w:t>.</w:t>
      </w:r>
    </w:p>
    <w:p w14:paraId="36381B6D" w14:textId="781A7F27" w:rsidR="000D2496" w:rsidRPr="008C0334" w:rsidRDefault="000D2496" w:rsidP="000D2496">
      <w:pPr>
        <w:pStyle w:val="Heading2"/>
      </w:pPr>
      <w:r w:rsidRPr="008C0334">
        <w:t>Documentation</w:t>
      </w:r>
    </w:p>
    <w:p w14:paraId="735A6E30" w14:textId="2CD4C948" w:rsidR="00A9199A" w:rsidRPr="008C0334" w:rsidRDefault="00A9199A" w:rsidP="00A9199A">
      <w:pPr>
        <w:pStyle w:val="BodyText"/>
        <w:rPr>
          <w:rFonts w:eastAsia="Arial"/>
        </w:rPr>
      </w:pPr>
      <w:r w:rsidRPr="008C0334">
        <w:t>Submission of the following information is necessary to initiate the prior authorization review:</w:t>
      </w:r>
      <w:r w:rsidRPr="008C0334">
        <w:rPr>
          <w:color w:val="000000"/>
        </w:rPr>
        <w:t xml:space="preserve"> </w:t>
      </w:r>
      <w:r w:rsidRPr="008C0334">
        <w:t>EGFR mutation testing results</w:t>
      </w:r>
      <w:r w:rsidRPr="008C0334">
        <w:rPr>
          <w:rFonts w:eastAsia="Arial"/>
        </w:rPr>
        <w:t>.</w:t>
      </w:r>
    </w:p>
    <w:p w14:paraId="50A38FBA" w14:textId="2FD6DD6E" w:rsidR="00FE0C63" w:rsidRPr="008C0334" w:rsidRDefault="00685107" w:rsidP="00E050E1">
      <w:pPr>
        <w:pStyle w:val="Heading2"/>
      </w:pPr>
      <w:r w:rsidRPr="008C0334">
        <w:t>Coverage Criteria</w:t>
      </w:r>
    </w:p>
    <w:p w14:paraId="207ED33C" w14:textId="17E63D01" w:rsidR="00A9199A" w:rsidRPr="008C0334" w:rsidRDefault="00A9199A" w:rsidP="00A2660D">
      <w:pPr>
        <w:pStyle w:val="Heading3"/>
      </w:pPr>
      <w:r w:rsidRPr="008C0334">
        <w:t>Non</w:t>
      </w:r>
      <w:r w:rsidR="00766081" w:rsidRPr="008C0334">
        <w:t>-Small Cell Lung Cancer (</w:t>
      </w:r>
      <w:r w:rsidRPr="008C0334">
        <w:t>NSCLC)</w:t>
      </w:r>
      <w:r w:rsidRPr="008C0334">
        <w:rPr>
          <w:vertAlign w:val="superscript"/>
        </w:rPr>
        <w:t>1-2</w:t>
      </w:r>
    </w:p>
    <w:p w14:paraId="48BE7D57" w14:textId="2B8CECB0" w:rsidR="00A2660D" w:rsidRPr="008C0334" w:rsidRDefault="00A9199A" w:rsidP="00766081">
      <w:pPr>
        <w:pStyle w:val="BodyText"/>
        <w:rPr>
          <w:color w:val="000000"/>
        </w:rPr>
      </w:pPr>
      <w:r w:rsidRPr="008C0334">
        <w:t xml:space="preserve">Authorization of 12 months may be granted for treatment of recurrent, advanced, or metastatic NSCLC (including brain and/or leptomeningeal metastases from NSCLC) in members with </w:t>
      </w:r>
      <w:r w:rsidRPr="008C0334">
        <w:rPr>
          <w:color w:val="000000"/>
        </w:rPr>
        <w:t>EGFR</w:t>
      </w:r>
      <w:r w:rsidR="00220448">
        <w:rPr>
          <w:color w:val="000000"/>
        </w:rPr>
        <w:t>-sensitizing</w:t>
      </w:r>
      <w:r w:rsidRPr="008C0334">
        <w:rPr>
          <w:color w:val="000000"/>
        </w:rPr>
        <w:t xml:space="preserve"> mutation-positive disease as a single agent or in combination with pemetrexed and either cisplatin or carboplatin.</w:t>
      </w:r>
    </w:p>
    <w:p w14:paraId="30708AA0" w14:textId="1615DAC4" w:rsidR="00165258" w:rsidRDefault="00A9199A" w:rsidP="00766081">
      <w:pPr>
        <w:pStyle w:val="BodyText"/>
      </w:pPr>
      <w:r w:rsidRPr="008C0334">
        <w:t xml:space="preserve">Authorization of 12 months may be granted for the adjuvant treatment of NSCLC </w:t>
      </w:r>
      <w:r w:rsidR="002C6EE3">
        <w:t>for members  with</w:t>
      </w:r>
      <w:r w:rsidRPr="008C0334">
        <w:t xml:space="preserve"> complete tumor resection</w:t>
      </w:r>
      <w:r w:rsidR="002C6EE3">
        <w:t xml:space="preserve"> or node positive NSCLC</w:t>
      </w:r>
      <w:r w:rsidRPr="008C0334">
        <w:t xml:space="preserve"> with EGFR mutation-positive disease as a single agent.</w:t>
      </w:r>
    </w:p>
    <w:p w14:paraId="4717CDB7" w14:textId="3E721343" w:rsidR="00220448" w:rsidRDefault="00220448" w:rsidP="00766081">
      <w:pPr>
        <w:pStyle w:val="BodyText"/>
      </w:pPr>
      <w:r>
        <w:t xml:space="preserve">Authorization </w:t>
      </w:r>
      <w:r w:rsidRPr="008C0334">
        <w:t>of 12 months may be granted for</w:t>
      </w:r>
      <w:r>
        <w:t xml:space="preserve"> consolidation therapy as a single agent for treatment of EGFR mutation-positive unresectable stage II-III NSCLC when there is no disease progression after definitive concurrent chemoradiation.</w:t>
      </w:r>
    </w:p>
    <w:p w14:paraId="3A643EC3" w14:textId="0F5F5CD2" w:rsidR="00A501AC" w:rsidRPr="008C0334" w:rsidRDefault="00A501AC" w:rsidP="00916E78">
      <w:pPr>
        <w:pStyle w:val="Heading2"/>
        <w:keepNext w:val="0"/>
        <w:widowControl w:val="0"/>
      </w:pPr>
      <w:r w:rsidRPr="008C0334">
        <w:t>Continuation of Therapy</w:t>
      </w:r>
    </w:p>
    <w:p w14:paraId="3A5646C7" w14:textId="71E131ED" w:rsidR="00A2660D" w:rsidRPr="008C0334" w:rsidRDefault="00A2660D" w:rsidP="00916E78">
      <w:pPr>
        <w:pStyle w:val="Heading3"/>
        <w:keepNext w:val="0"/>
        <w:keepLines w:val="0"/>
        <w:widowControl w:val="0"/>
        <w:rPr>
          <w:vertAlign w:val="superscript"/>
        </w:rPr>
      </w:pPr>
      <w:r w:rsidRPr="008C0334">
        <w:t>Non</w:t>
      </w:r>
      <w:r w:rsidR="00766081" w:rsidRPr="008C0334">
        <w:t xml:space="preserve">-Small Cell Lung Cancer </w:t>
      </w:r>
      <w:r w:rsidRPr="008C0334">
        <w:t>(NSCLC)</w:t>
      </w:r>
    </w:p>
    <w:p w14:paraId="0F3E42BB" w14:textId="77777777" w:rsidR="00CC1791" w:rsidRDefault="00A2660D" w:rsidP="00916E78">
      <w:pPr>
        <w:pStyle w:val="BodyText"/>
        <w:widowControl w:val="0"/>
      </w:pPr>
      <w:r w:rsidRPr="008C0334">
        <w:lastRenderedPageBreak/>
        <w:t>Authorization of 12 months (up to a maximum duration of 3 years) may be granted for continued treatment in members requesting reauthorization for adjuvant treatment of NSCLC when there is no evidence of unacceptable toxicity or disease recurrence while on the current regimen.</w:t>
      </w:r>
    </w:p>
    <w:p w14:paraId="39DE0018" w14:textId="6B027219" w:rsidR="00A501AC" w:rsidRPr="008C0334" w:rsidRDefault="00A2660D" w:rsidP="00766081">
      <w:pPr>
        <w:pStyle w:val="BodyText"/>
      </w:pPr>
      <w:r w:rsidRPr="008C0334">
        <w:t>Authorization of 12 months may be granted for continued treatment in members requesting reauthorization for recurrent, advanced, or metastatic NSCLC when there is no evidence of unacceptable toxicity while on the current regimen</w:t>
      </w:r>
      <w:r w:rsidR="00A501AC" w:rsidRPr="008C0334">
        <w:t>.</w:t>
      </w:r>
    </w:p>
    <w:p w14:paraId="10DA4309" w14:textId="73697E63" w:rsidR="00FF66BF" w:rsidRPr="008C0334" w:rsidRDefault="00FF66BF" w:rsidP="00FF66BF">
      <w:pPr>
        <w:pStyle w:val="Heading2"/>
      </w:pPr>
      <w:r w:rsidRPr="008C0334">
        <w:t>References</w:t>
      </w:r>
    </w:p>
    <w:p w14:paraId="00D86317" w14:textId="5F765E9A" w:rsidR="008C5C1A" w:rsidRPr="00766081" w:rsidRDefault="008C5C1A" w:rsidP="00766081">
      <w:pPr>
        <w:pStyle w:val="ReferenceOrdered"/>
      </w:pPr>
      <w:proofErr w:type="spellStart"/>
      <w:r w:rsidRPr="00766081">
        <w:t>Tagrisso</w:t>
      </w:r>
      <w:proofErr w:type="spellEnd"/>
      <w:r w:rsidRPr="00766081">
        <w:t xml:space="preserve"> [package insert]. Wilmington, DE: AstraZeneca Pharmaceuticals LP; </w:t>
      </w:r>
      <w:r w:rsidR="002D5DC1">
        <w:t>September</w:t>
      </w:r>
      <w:r w:rsidRPr="00766081">
        <w:t xml:space="preserve"> 2024.</w:t>
      </w:r>
    </w:p>
    <w:p w14:paraId="26E25A0F" w14:textId="51B2E928" w:rsidR="00FF66BF" w:rsidRPr="00766081" w:rsidRDefault="008C5C1A" w:rsidP="00766081">
      <w:pPr>
        <w:pStyle w:val="ReferenceOrdered"/>
      </w:pPr>
      <w:r w:rsidRPr="00766081">
        <w:t>The NCCN Drugs &amp; Biologics Compendium® © 202</w:t>
      </w:r>
      <w:r w:rsidR="00714B0F">
        <w:t>5</w:t>
      </w:r>
      <w:r w:rsidRPr="00766081">
        <w:t xml:space="preserve"> National Comprehensive Cancer Network, Inc. https://www.nccn.org. Accessed March </w:t>
      </w:r>
      <w:r w:rsidR="00714B0F">
        <w:t>3</w:t>
      </w:r>
      <w:r w:rsidRPr="00766081">
        <w:t>, 202</w:t>
      </w:r>
      <w:r w:rsidR="00714B0F">
        <w:t>5</w:t>
      </w:r>
      <w:r w:rsidRPr="00766081">
        <w:t>.</w:t>
      </w:r>
    </w:p>
    <w:sectPr w:rsidR="00FF66BF" w:rsidRPr="00766081" w:rsidSect="00033FDC">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C2B1A" w14:textId="77777777" w:rsidR="00B90749" w:rsidRDefault="00B90749">
      <w:r>
        <w:separator/>
      </w:r>
    </w:p>
  </w:endnote>
  <w:endnote w:type="continuationSeparator" w:id="0">
    <w:p w14:paraId="591266D4" w14:textId="77777777" w:rsidR="00B90749" w:rsidRDefault="00B90749">
      <w:r>
        <w:continuationSeparator/>
      </w:r>
    </w:p>
  </w:endnote>
  <w:endnote w:type="continuationNotice" w:id="1">
    <w:p w14:paraId="37860B84" w14:textId="77777777" w:rsidR="00B90749" w:rsidRDefault="00B907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875F81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C6FFC" w:rsidRPr="004C6FFC">
      <w:rPr>
        <w:rFonts w:cs="Arial"/>
        <w:noProof/>
        <w:sz w:val="16"/>
        <w:szCs w:val="16"/>
      </w:rPr>
      <w:t>Tagrisso</w:t>
    </w:r>
    <w:r w:rsidR="004C6FFC">
      <w:rPr>
        <w:rFonts w:cs="Arial"/>
        <w:noProof/>
        <w:snapToGrid w:val="0"/>
        <w:color w:val="000000"/>
        <w:sz w:val="16"/>
        <w:szCs w:val="16"/>
      </w:rPr>
      <w:t xml:space="preserve"> SGM 1663-A</w:t>
    </w:r>
    <w:r w:rsidR="004C6FFC" w:rsidRPr="004C6FF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DD36BA">
      <w:rPr>
        <w:rFonts w:cs="Arial"/>
        <w:snapToGrid w:val="0"/>
        <w:color w:val="000000"/>
        <w:sz w:val="16"/>
      </w:rPr>
      <w:t>5</w:t>
    </w:r>
    <w:r w:rsidRPr="00EC47B6">
      <w:rPr>
        <w:rFonts w:cs="Arial"/>
        <w:snapToGrid w:val="0"/>
        <w:color w:val="000000"/>
        <w:sz w:val="16"/>
      </w:rPr>
      <w:t xml:space="preserve"> CVS Caremark. All rights reserved.</w:t>
    </w:r>
  </w:p>
  <w:p w14:paraId="61CF5924" w14:textId="7D35D54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5E7DC38" w:rsidR="00F75C81" w:rsidRPr="00880208" w:rsidRDefault="00C36B72" w:rsidP="00033FDC">
    <w:pPr>
      <w:autoSpaceDE w:val="0"/>
      <w:autoSpaceDN w:val="0"/>
      <w:adjustRightInd w:val="0"/>
      <w:jc w:val="center"/>
      <w:rPr>
        <w:sz w:val="16"/>
        <w:szCs w:val="16"/>
      </w:rPr>
    </w:pPr>
    <w:r w:rsidRPr="00880208">
      <w:rPr>
        <w:rFonts w:cs="Arial"/>
        <w:sz w:val="16"/>
        <w:szCs w:val="16"/>
      </w:rPr>
      <w:fldChar w:fldCharType="begin"/>
    </w:r>
    <w:r w:rsidRPr="00880208">
      <w:rPr>
        <w:rFonts w:cs="Arial"/>
        <w:sz w:val="16"/>
        <w:szCs w:val="16"/>
      </w:rPr>
      <w:instrText xml:space="preserve"> PAGE </w:instrText>
    </w:r>
    <w:r w:rsidRPr="00880208">
      <w:rPr>
        <w:rFonts w:cs="Arial"/>
        <w:sz w:val="16"/>
        <w:szCs w:val="16"/>
      </w:rPr>
      <w:fldChar w:fldCharType="separate"/>
    </w:r>
    <w:r w:rsidRPr="00880208">
      <w:rPr>
        <w:rFonts w:cs="Arial"/>
        <w:sz w:val="16"/>
        <w:szCs w:val="16"/>
      </w:rPr>
      <w:t>8</w:t>
    </w:r>
    <w:r w:rsidRPr="00880208">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0808C6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F62B6" w:rsidRPr="007F62B6">
      <w:rPr>
        <w:rFonts w:cs="Arial"/>
        <w:noProof/>
        <w:sz w:val="16"/>
        <w:szCs w:val="16"/>
      </w:rPr>
      <w:t>Tagrisso</w:t>
    </w:r>
    <w:r w:rsidR="007F62B6">
      <w:rPr>
        <w:rFonts w:cs="Arial"/>
        <w:noProof/>
        <w:snapToGrid w:val="0"/>
        <w:color w:val="000000"/>
        <w:sz w:val="16"/>
        <w:szCs w:val="16"/>
      </w:rPr>
      <w:t xml:space="preserve"> SGM 1663-A</w:t>
    </w:r>
    <w:r w:rsidR="007F62B6" w:rsidRPr="007F62B6">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DD36BA">
      <w:rPr>
        <w:rFonts w:cs="Arial"/>
        <w:snapToGrid w:val="0"/>
        <w:color w:val="000000"/>
        <w:sz w:val="16"/>
      </w:rPr>
      <w:t>5</w:t>
    </w:r>
    <w:r w:rsidRPr="00EC47B6">
      <w:rPr>
        <w:rFonts w:cs="Arial"/>
        <w:snapToGrid w:val="0"/>
        <w:color w:val="000000"/>
        <w:sz w:val="16"/>
      </w:rPr>
      <w:t xml:space="preserve"> CVS Caremark. All rights reserved.</w:t>
    </w:r>
  </w:p>
  <w:p w14:paraId="39BFE579" w14:textId="315B675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50F7297" w:rsidR="00ED04EC" w:rsidRPr="00880208" w:rsidRDefault="00F50D98" w:rsidP="00033FDC">
    <w:pPr>
      <w:autoSpaceDE w:val="0"/>
      <w:autoSpaceDN w:val="0"/>
      <w:adjustRightInd w:val="0"/>
      <w:jc w:val="center"/>
      <w:rPr>
        <w:sz w:val="16"/>
        <w:szCs w:val="16"/>
      </w:rPr>
    </w:pPr>
    <w:r w:rsidRPr="00880208">
      <w:rPr>
        <w:rFonts w:cs="Arial"/>
        <w:sz w:val="16"/>
        <w:szCs w:val="16"/>
      </w:rPr>
      <w:fldChar w:fldCharType="begin"/>
    </w:r>
    <w:r w:rsidRPr="00880208">
      <w:rPr>
        <w:rFonts w:cs="Arial"/>
        <w:sz w:val="16"/>
        <w:szCs w:val="16"/>
      </w:rPr>
      <w:instrText xml:space="preserve"> PAGE </w:instrText>
    </w:r>
    <w:r w:rsidRPr="00880208">
      <w:rPr>
        <w:rFonts w:cs="Arial"/>
        <w:sz w:val="16"/>
        <w:szCs w:val="16"/>
      </w:rPr>
      <w:fldChar w:fldCharType="separate"/>
    </w:r>
    <w:r w:rsidRPr="00880208">
      <w:rPr>
        <w:rFonts w:cs="Arial"/>
        <w:sz w:val="16"/>
        <w:szCs w:val="16"/>
      </w:rPr>
      <w:t>2</w:t>
    </w:r>
    <w:r w:rsidRPr="0088020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19D91" w14:textId="3937CCF7" w:rsidR="002E624C" w:rsidRPr="002E624C" w:rsidRDefault="002E624C" w:rsidP="002E62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32907" w14:textId="77777777" w:rsidR="00B90749" w:rsidRDefault="00B90749">
      <w:r>
        <w:separator/>
      </w:r>
    </w:p>
  </w:footnote>
  <w:footnote w:type="continuationSeparator" w:id="0">
    <w:p w14:paraId="5D10C0CA" w14:textId="77777777" w:rsidR="00B90749" w:rsidRDefault="00B90749">
      <w:r>
        <w:continuationSeparator/>
      </w:r>
    </w:p>
  </w:footnote>
  <w:footnote w:type="continuationNotice" w:id="1">
    <w:p w14:paraId="12A783B5" w14:textId="77777777" w:rsidR="00B90749" w:rsidRDefault="00B907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AEC1158" w:rsidR="00ED04EC" w:rsidRPr="004C7F1D" w:rsidRDefault="002F4AA6" w:rsidP="00ED04EC">
          <w:pPr>
            <w:pStyle w:val="Header"/>
            <w:rPr>
              <w:rFonts w:ascii="Arial" w:hAnsi="Arial" w:cs="Arial"/>
              <w:sz w:val="16"/>
              <w:szCs w:val="16"/>
            </w:rPr>
          </w:pPr>
          <w:r>
            <w:rPr>
              <w:rFonts w:ascii="Arial" w:hAnsi="Arial" w:cs="Arial"/>
              <w:sz w:val="16"/>
              <w:szCs w:val="16"/>
            </w:rPr>
            <w:t>1663-A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6105D" w:rsidRPr="00ED04EC" w14:paraId="121364D1" w14:textId="77777777" w:rsidTr="00997B36">
      <w:trPr>
        <w:trHeight w:val="144"/>
        <w:jc w:val="right"/>
      </w:trPr>
      <w:tc>
        <w:tcPr>
          <w:tcW w:w="1854" w:type="dxa"/>
          <w:hideMark/>
        </w:tcPr>
        <w:p w14:paraId="3C2FD537" w14:textId="77777777" w:rsidR="0016105D" w:rsidRPr="008C0334" w:rsidRDefault="0016105D" w:rsidP="0016105D">
          <w:pPr>
            <w:pStyle w:val="Header"/>
            <w:rPr>
              <w:rFonts w:cs="Arial"/>
              <w:sz w:val="16"/>
              <w:szCs w:val="16"/>
            </w:rPr>
          </w:pPr>
          <w:r w:rsidRPr="008C0334">
            <w:rPr>
              <w:rFonts w:cs="Arial"/>
              <w:sz w:val="16"/>
              <w:szCs w:val="16"/>
            </w:rPr>
            <w:t>Reference number(s)</w:t>
          </w:r>
        </w:p>
      </w:tc>
    </w:tr>
    <w:tr w:rsidR="0016105D" w:rsidRPr="00ED04EC" w14:paraId="228F02F4" w14:textId="77777777" w:rsidTr="00997B36">
      <w:trPr>
        <w:trHeight w:val="378"/>
        <w:jc w:val="right"/>
      </w:trPr>
      <w:tc>
        <w:tcPr>
          <w:tcW w:w="1854" w:type="dxa"/>
          <w:hideMark/>
        </w:tcPr>
        <w:p w14:paraId="0D0F647F" w14:textId="6396177B" w:rsidR="0016105D" w:rsidRPr="008C0334" w:rsidRDefault="00F75EDB" w:rsidP="0016105D">
          <w:pPr>
            <w:pStyle w:val="Header"/>
            <w:rPr>
              <w:rFonts w:cs="Arial"/>
              <w:sz w:val="16"/>
              <w:szCs w:val="16"/>
            </w:rPr>
          </w:pPr>
          <w:r w:rsidRPr="008C0334">
            <w:rPr>
              <w:rFonts w:cs="Arial"/>
              <w:sz w:val="16"/>
              <w:szCs w:val="16"/>
            </w:rPr>
            <w:t>1663-A</w:t>
          </w:r>
        </w:p>
      </w:tc>
    </w:tr>
  </w:tbl>
  <w:p w14:paraId="63710190" w14:textId="77777777" w:rsidR="0016105D" w:rsidRPr="008C0334" w:rsidRDefault="0016105D">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DC4DE4"/>
    <w:multiLevelType w:val="hybridMultilevel"/>
    <w:tmpl w:val="E8466E40"/>
    <w:lvl w:ilvl="0" w:tplc="04090001">
      <w:start w:val="1"/>
      <w:numFmt w:val="bullet"/>
      <w:lvlText w:val=""/>
      <w:lvlJc w:val="left"/>
      <w:pPr>
        <w:ind w:left="1443" w:hanging="360"/>
      </w:pPr>
      <w:rPr>
        <w:rFonts w:ascii="Symbol" w:hAnsi="Symbol" w:hint="default"/>
      </w:rPr>
    </w:lvl>
    <w:lvl w:ilvl="1" w:tplc="40090003" w:tentative="1">
      <w:start w:val="1"/>
      <w:numFmt w:val="bullet"/>
      <w:lvlText w:val="o"/>
      <w:lvlJc w:val="left"/>
      <w:pPr>
        <w:ind w:left="2163" w:hanging="360"/>
      </w:pPr>
      <w:rPr>
        <w:rFonts w:ascii="Courier New" w:hAnsi="Courier New" w:cs="Courier New" w:hint="default"/>
      </w:rPr>
    </w:lvl>
    <w:lvl w:ilvl="2" w:tplc="40090005" w:tentative="1">
      <w:start w:val="1"/>
      <w:numFmt w:val="bullet"/>
      <w:lvlText w:val=""/>
      <w:lvlJc w:val="left"/>
      <w:pPr>
        <w:ind w:left="2883" w:hanging="360"/>
      </w:pPr>
      <w:rPr>
        <w:rFonts w:ascii="Wingdings" w:hAnsi="Wingdings" w:hint="default"/>
      </w:rPr>
    </w:lvl>
    <w:lvl w:ilvl="3" w:tplc="40090001" w:tentative="1">
      <w:start w:val="1"/>
      <w:numFmt w:val="bullet"/>
      <w:lvlText w:val=""/>
      <w:lvlJc w:val="left"/>
      <w:pPr>
        <w:ind w:left="3603" w:hanging="360"/>
      </w:pPr>
      <w:rPr>
        <w:rFonts w:ascii="Symbol" w:hAnsi="Symbol" w:hint="default"/>
      </w:rPr>
    </w:lvl>
    <w:lvl w:ilvl="4" w:tplc="40090003" w:tentative="1">
      <w:start w:val="1"/>
      <w:numFmt w:val="bullet"/>
      <w:lvlText w:val="o"/>
      <w:lvlJc w:val="left"/>
      <w:pPr>
        <w:ind w:left="4323" w:hanging="360"/>
      </w:pPr>
      <w:rPr>
        <w:rFonts w:ascii="Courier New" w:hAnsi="Courier New" w:cs="Courier New" w:hint="default"/>
      </w:rPr>
    </w:lvl>
    <w:lvl w:ilvl="5" w:tplc="40090005" w:tentative="1">
      <w:start w:val="1"/>
      <w:numFmt w:val="bullet"/>
      <w:lvlText w:val=""/>
      <w:lvlJc w:val="left"/>
      <w:pPr>
        <w:ind w:left="5043" w:hanging="360"/>
      </w:pPr>
      <w:rPr>
        <w:rFonts w:ascii="Wingdings" w:hAnsi="Wingdings" w:hint="default"/>
      </w:rPr>
    </w:lvl>
    <w:lvl w:ilvl="6" w:tplc="40090001" w:tentative="1">
      <w:start w:val="1"/>
      <w:numFmt w:val="bullet"/>
      <w:lvlText w:val=""/>
      <w:lvlJc w:val="left"/>
      <w:pPr>
        <w:ind w:left="5763" w:hanging="360"/>
      </w:pPr>
      <w:rPr>
        <w:rFonts w:ascii="Symbol" w:hAnsi="Symbol" w:hint="default"/>
      </w:rPr>
    </w:lvl>
    <w:lvl w:ilvl="7" w:tplc="40090003" w:tentative="1">
      <w:start w:val="1"/>
      <w:numFmt w:val="bullet"/>
      <w:lvlText w:val="o"/>
      <w:lvlJc w:val="left"/>
      <w:pPr>
        <w:ind w:left="6483" w:hanging="360"/>
      </w:pPr>
      <w:rPr>
        <w:rFonts w:ascii="Courier New" w:hAnsi="Courier New" w:cs="Courier New" w:hint="default"/>
      </w:rPr>
    </w:lvl>
    <w:lvl w:ilvl="8" w:tplc="40090005" w:tentative="1">
      <w:start w:val="1"/>
      <w:numFmt w:val="bullet"/>
      <w:lvlText w:val=""/>
      <w:lvlJc w:val="left"/>
      <w:pPr>
        <w:ind w:left="7203" w:hanging="360"/>
      </w:pPr>
      <w:rPr>
        <w:rFonts w:ascii="Wingdings" w:hAnsi="Wingdings" w:hint="default"/>
      </w:rPr>
    </w:lvl>
  </w:abstractNum>
  <w:abstractNum w:abstractNumId="14" w15:restartNumberingAfterBreak="0">
    <w:nsid w:val="13A12F1E"/>
    <w:multiLevelType w:val="hybridMultilevel"/>
    <w:tmpl w:val="8D1ABE7E"/>
    <w:lvl w:ilvl="0" w:tplc="04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5" w15:restartNumberingAfterBreak="0">
    <w:nsid w:val="146927FD"/>
    <w:multiLevelType w:val="hybridMultilevel"/>
    <w:tmpl w:val="AE78BD1C"/>
    <w:lvl w:ilvl="0" w:tplc="1A50D302">
      <w:start w:val="1"/>
      <w:numFmt w:val="decimal"/>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76E3E"/>
    <w:multiLevelType w:val="hybridMultilevel"/>
    <w:tmpl w:val="B90EE0A0"/>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9B7045"/>
    <w:multiLevelType w:val="hybridMultilevel"/>
    <w:tmpl w:val="BC5A3BD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B0647D"/>
    <w:multiLevelType w:val="hybridMultilevel"/>
    <w:tmpl w:val="2EB2E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B230FA"/>
    <w:multiLevelType w:val="hybridMultilevel"/>
    <w:tmpl w:val="56DA7226"/>
    <w:lvl w:ilvl="0" w:tplc="E1F28718">
      <w:start w:val="1"/>
      <w:numFmt w:val="decimal"/>
      <w:lvlText w:val="%1."/>
      <w:lvlJc w:val="left"/>
      <w:pPr>
        <w:ind w:left="1440" w:hanging="360"/>
      </w:pPr>
      <w:rPr>
        <w:rFonts w:ascii="Arial" w:eastAsia="Times New Roman" w:hAnsi="Arial" w:cs="Aria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C5638F"/>
    <w:multiLevelType w:val="hybridMultilevel"/>
    <w:tmpl w:val="3DE01CC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7E84F4C"/>
    <w:multiLevelType w:val="hybridMultilevel"/>
    <w:tmpl w:val="C888A3B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6C6528"/>
    <w:multiLevelType w:val="hybridMultilevel"/>
    <w:tmpl w:val="6ECE4DA8"/>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0"/>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0"/>
  </w:num>
  <w:num w:numId="17" w16cid:durableId="2128498676">
    <w:abstractNumId w:val="34"/>
  </w:num>
  <w:num w:numId="18" w16cid:durableId="299724409">
    <w:abstractNumId w:val="25"/>
  </w:num>
  <w:num w:numId="19" w16cid:durableId="214585573">
    <w:abstractNumId w:val="17"/>
  </w:num>
  <w:num w:numId="20" w16cid:durableId="1289816170">
    <w:abstractNumId w:val="18"/>
  </w:num>
  <w:num w:numId="21" w16cid:durableId="1066490929">
    <w:abstractNumId w:val="36"/>
  </w:num>
  <w:num w:numId="22" w16cid:durableId="1472481103">
    <w:abstractNumId w:val="29"/>
  </w:num>
  <w:num w:numId="23" w16cid:durableId="1997420403">
    <w:abstractNumId w:val="31"/>
  </w:num>
  <w:num w:numId="24" w16cid:durableId="33312838">
    <w:abstractNumId w:val="26"/>
  </w:num>
  <w:num w:numId="25" w16cid:durableId="507404939">
    <w:abstractNumId w:val="19"/>
  </w:num>
  <w:num w:numId="26" w16cid:durableId="1950313333">
    <w:abstractNumId w:val="22"/>
  </w:num>
  <w:num w:numId="27" w16cid:durableId="1866016584">
    <w:abstractNumId w:val="21"/>
  </w:num>
  <w:num w:numId="28" w16cid:durableId="306209894">
    <w:abstractNumId w:val="15"/>
  </w:num>
  <w:num w:numId="29" w16cid:durableId="125516298">
    <w:abstractNumId w:val="16"/>
  </w:num>
  <w:num w:numId="30" w16cid:durableId="735206927">
    <w:abstractNumId w:val="28"/>
  </w:num>
  <w:num w:numId="31" w16cid:durableId="1799641288">
    <w:abstractNumId w:val="35"/>
  </w:num>
  <w:num w:numId="32" w16cid:durableId="1403529727">
    <w:abstractNumId w:val="32"/>
  </w:num>
  <w:num w:numId="33" w16cid:durableId="1399286036">
    <w:abstractNumId w:val="33"/>
  </w:num>
  <w:num w:numId="34" w16cid:durableId="1107509509">
    <w:abstractNumId w:val="23"/>
  </w:num>
  <w:num w:numId="35" w16cid:durableId="1366447973">
    <w:abstractNumId w:val="14"/>
  </w:num>
  <w:num w:numId="36" w16cid:durableId="257063807">
    <w:abstractNumId w:val="13"/>
  </w:num>
  <w:num w:numId="37" w16cid:durableId="290985960">
    <w:abstractNumId w:val="27"/>
  </w:num>
  <w:num w:numId="38" w16cid:durableId="470248228">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3FDC"/>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33"/>
    <w:rsid w:val="000E0C62"/>
    <w:rsid w:val="000E24FA"/>
    <w:rsid w:val="000E2ECC"/>
    <w:rsid w:val="000E37E4"/>
    <w:rsid w:val="000E3A1B"/>
    <w:rsid w:val="000E3DD4"/>
    <w:rsid w:val="000E498E"/>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B27"/>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105D"/>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448"/>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374"/>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36E4"/>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6EE3"/>
    <w:rsid w:val="002C7085"/>
    <w:rsid w:val="002C7217"/>
    <w:rsid w:val="002D08E3"/>
    <w:rsid w:val="002D0E27"/>
    <w:rsid w:val="002D115E"/>
    <w:rsid w:val="002D14E1"/>
    <w:rsid w:val="002D1E70"/>
    <w:rsid w:val="002D27EE"/>
    <w:rsid w:val="002D2C61"/>
    <w:rsid w:val="002D35B0"/>
    <w:rsid w:val="002D49E5"/>
    <w:rsid w:val="002D5DC1"/>
    <w:rsid w:val="002D6257"/>
    <w:rsid w:val="002D6987"/>
    <w:rsid w:val="002E030E"/>
    <w:rsid w:val="002E06B0"/>
    <w:rsid w:val="002E15A0"/>
    <w:rsid w:val="002E1D9A"/>
    <w:rsid w:val="002E254D"/>
    <w:rsid w:val="002E362E"/>
    <w:rsid w:val="002E3C61"/>
    <w:rsid w:val="002E3D87"/>
    <w:rsid w:val="002E5C63"/>
    <w:rsid w:val="002E624C"/>
    <w:rsid w:val="002E6AE1"/>
    <w:rsid w:val="002E7264"/>
    <w:rsid w:val="002F1388"/>
    <w:rsid w:val="002F23BB"/>
    <w:rsid w:val="002F2FA8"/>
    <w:rsid w:val="002F311C"/>
    <w:rsid w:val="002F335A"/>
    <w:rsid w:val="002F4AA6"/>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06D"/>
    <w:rsid w:val="00395521"/>
    <w:rsid w:val="00395A71"/>
    <w:rsid w:val="00396A5B"/>
    <w:rsid w:val="00396D00"/>
    <w:rsid w:val="00397283"/>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6FFC"/>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D04"/>
    <w:rsid w:val="00503FB8"/>
    <w:rsid w:val="00504015"/>
    <w:rsid w:val="00504518"/>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85A"/>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69D"/>
    <w:rsid w:val="00703C25"/>
    <w:rsid w:val="00703C67"/>
    <w:rsid w:val="007061F8"/>
    <w:rsid w:val="00706B11"/>
    <w:rsid w:val="00706FB2"/>
    <w:rsid w:val="00707218"/>
    <w:rsid w:val="007074F5"/>
    <w:rsid w:val="00707DEE"/>
    <w:rsid w:val="00711A79"/>
    <w:rsid w:val="007125BE"/>
    <w:rsid w:val="0071294F"/>
    <w:rsid w:val="00712EA4"/>
    <w:rsid w:val="00712F85"/>
    <w:rsid w:val="00714B0F"/>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7FC"/>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66081"/>
    <w:rsid w:val="007704F3"/>
    <w:rsid w:val="007710F2"/>
    <w:rsid w:val="007716E9"/>
    <w:rsid w:val="00772C18"/>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26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827"/>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1C3"/>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2B6"/>
    <w:rsid w:val="007F6891"/>
    <w:rsid w:val="00801D9D"/>
    <w:rsid w:val="00801FD8"/>
    <w:rsid w:val="00802917"/>
    <w:rsid w:val="00802E1E"/>
    <w:rsid w:val="00804124"/>
    <w:rsid w:val="0080421C"/>
    <w:rsid w:val="008049E4"/>
    <w:rsid w:val="00804B0A"/>
    <w:rsid w:val="00804D61"/>
    <w:rsid w:val="00804E0C"/>
    <w:rsid w:val="0080719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208"/>
    <w:rsid w:val="00880B42"/>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334"/>
    <w:rsid w:val="008C0ECB"/>
    <w:rsid w:val="008C1818"/>
    <w:rsid w:val="008C30A0"/>
    <w:rsid w:val="008C3173"/>
    <w:rsid w:val="008C3DF1"/>
    <w:rsid w:val="008C42FB"/>
    <w:rsid w:val="008C45B6"/>
    <w:rsid w:val="008C54D9"/>
    <w:rsid w:val="008C5C1A"/>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16E7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0B88"/>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60D"/>
    <w:rsid w:val="00A278EB"/>
    <w:rsid w:val="00A27DC5"/>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E3"/>
    <w:rsid w:val="00A655D6"/>
    <w:rsid w:val="00A656CE"/>
    <w:rsid w:val="00A661A9"/>
    <w:rsid w:val="00A66B5B"/>
    <w:rsid w:val="00A66E07"/>
    <w:rsid w:val="00A672B3"/>
    <w:rsid w:val="00A676CB"/>
    <w:rsid w:val="00A67BE5"/>
    <w:rsid w:val="00A70D4D"/>
    <w:rsid w:val="00A719BF"/>
    <w:rsid w:val="00A722CB"/>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99A"/>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B61"/>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7B0"/>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636"/>
    <w:rsid w:val="00B8792F"/>
    <w:rsid w:val="00B90749"/>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2DC7"/>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0CD6"/>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4FF0"/>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791"/>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FF6"/>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63"/>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36BA"/>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448E"/>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EDB"/>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34F5EFF"/>
    <w:rsid w:val="29729D5D"/>
    <w:rsid w:val="5558E8C0"/>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uiPriority w:val="99"/>
    <w:rsid w:val="00151DA8"/>
  </w:style>
  <w:style w:type="character" w:customStyle="1" w:styleId="CommentTextChar">
    <w:name w:val="Comment Text Char"/>
    <w:basedOn w:val="DefaultParagraphFont"/>
    <w:link w:val="CommentText"/>
    <w:uiPriority w:val="99"/>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ce173f13-e3a2-4c5f-8c54-d0382ae88016"/>
    <ds:schemaRef ds:uri="http://purl.org/dc/elements/1.1/"/>
    <ds:schemaRef ds:uri="http://schemas.microsoft.com/office/2006/metadata/properties"/>
    <ds:schemaRef ds:uri="102fadf2-6cae-45bc-95f6-bc2613b98572"/>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08049434-DEA5-4F2D-94AE-E8D53603C1D9}"/>
</file>

<file path=docProps/app.xml><?xml version="1.0" encoding="utf-8"?>
<Properties xmlns="http://schemas.openxmlformats.org/officeDocument/2006/extended-properties" xmlns:vt="http://schemas.openxmlformats.org/officeDocument/2006/docPropsVTypes">
  <Template>Normal.dotm</Template>
  <TotalTime>7</TotalTime>
  <Pages>3</Pages>
  <Words>583</Words>
  <Characters>3619</Characters>
  <Application>Microsoft Office Word</Application>
  <DocSecurity>0</DocSecurity>
  <Lines>30</Lines>
  <Paragraphs>8</Paragraphs>
  <ScaleCrop>false</ScaleCrop>
  <Company>PCS Health Systems</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Tagrisso 1663-A SGM 2024</dc:title>
  <dc:subject/>
  <dc:creator>CVS Caremark</dc:creator>
  <cp:keywords/>
  <cp:lastModifiedBy>Ortiz, Erica M</cp:lastModifiedBy>
  <cp:revision>5</cp:revision>
  <cp:lastPrinted>2024-04-25T12:38:00Z</cp:lastPrinted>
  <dcterms:created xsi:type="dcterms:W3CDTF">2025-07-10T17:01:00Z</dcterms:created>
  <dcterms:modified xsi:type="dcterms:W3CDTF">2025-07-10T17:02:00Z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853900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